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 Р О Т О К О Л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признании претендентов участниками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аукциона</w:t>
      </w:r>
      <w:r>
        <w:rPr>
          <w:sz w:val="27"/>
          <w:szCs w:val="27"/>
        </w:rPr>
        <w:t xml:space="preserve"> в элек</w:t>
      </w:r>
      <w:r>
        <w:rPr>
          <w:sz w:val="27"/>
          <w:szCs w:val="27"/>
        </w:rPr>
        <w:t xml:space="preserve">тронной форме по продаже изъятого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народов Российской Федерации: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нежилого здания общей площадью общей площадью 849,7 кв.м., количество этажей: 3, в том числе подземных 1, кадастровый номер 52:18:</w:t>
      </w:r>
      <w:r>
        <w:rPr>
          <w:b/>
          <w:sz w:val="27"/>
          <w:szCs w:val="27"/>
        </w:rPr>
        <w:t xml:space="preserve">0060052:249, являющегося объектом культурного наследия регионального значения –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19/29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на </w:t>
      </w:r>
      <w:r>
        <w:rPr>
          <w:b/>
          <w:sz w:val="27"/>
          <w:szCs w:val="27"/>
        </w:rPr>
        <w:t xml:space="preserve">электронной торговой площадке АО «Российский аукционный дом» www.lot-online.ru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bCs/>
          <w:i/>
          <w:iCs/>
          <w:sz w:val="27"/>
          <w:szCs w:val="27"/>
        </w:rPr>
      </w:pPr>
      <w:r>
        <w:rPr>
          <w:bCs/>
          <w:i/>
          <w:iCs/>
          <w:sz w:val="27"/>
          <w:szCs w:val="27"/>
        </w:rPr>
      </w:r>
      <w:r>
        <w:rPr>
          <w:bCs/>
          <w:i/>
          <w:iCs/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8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.20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имущества: 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Нежилое здание общей площадью 849,7 кв.м., количество этажей: 3, в том числе подземных 1, кадастровый номер 52:18:0060052:249, являющ</w:t>
      </w:r>
      <w:r>
        <w:rPr>
          <w:sz w:val="27"/>
          <w:szCs w:val="27"/>
        </w:rPr>
        <w:t xml:space="preserve">ееся объектом культурного наследия регионального значения – «Жилой дом», расположенное по адресу: Российская Федерация, Нижегородская область, городской округ город Нижний Новгород, город Нижний Новгород, улица Нижегородская, дом 19/29 (далее – Объект) (до</w:t>
      </w:r>
      <w:r>
        <w:rPr>
          <w:sz w:val="27"/>
          <w:szCs w:val="27"/>
        </w:rPr>
        <w:t xml:space="preserve">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утвержден Приказом управления государственной охраны объектов культурного наследия Ни</w:t>
      </w:r>
      <w:r>
        <w:rPr>
          <w:sz w:val="27"/>
          <w:szCs w:val="27"/>
        </w:rPr>
        <w:t xml:space="preserve">жегородской области «О включении выявленных объектов культурного наследия, расположенных, расположенных в городе Нижнем Новгороде на улицах Большие Овраги, Луначарского, Нижегородской, Соревнования, Сергиевской, Ярославской и территории Кремля, в единый го</w:t>
      </w:r>
      <w:r>
        <w:rPr>
          <w:sz w:val="27"/>
          <w:szCs w:val="27"/>
        </w:rPr>
        <w:t xml:space="preserve">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регионального значения, утверждении границ и режима использования их территорий» от 14.04.2020 № 150).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Собственник Объекта – физическое лицо.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сведениям из выписок из Единого государ</w:t>
      </w:r>
      <w:r>
        <w:rPr>
          <w:sz w:val="27"/>
          <w:szCs w:val="27"/>
        </w:rPr>
        <w:t xml:space="preserve">ственного реестра недвижимости </w:t>
      </w:r>
      <w:r>
        <w:rPr>
          <w:sz w:val="27"/>
          <w:szCs w:val="27"/>
        </w:rPr>
        <w:t xml:space="preserve">на Объект установлены ограничения и обременения, в том числе: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- Охранным обязательством собственника или иного законного владельца объекта культурного наследия</w:t>
      </w:r>
      <w:r>
        <w:rPr>
          <w:sz w:val="27"/>
          <w:szCs w:val="27"/>
        </w:rPr>
        <w:t xml:space="preserve">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19/29, утвержденным приказом управления государственной охран</w:t>
      </w:r>
      <w:r>
        <w:rPr>
          <w:sz w:val="27"/>
          <w:szCs w:val="27"/>
        </w:rPr>
        <w:t xml:space="preserve">ы объектов культурного наследия Нижегородской области от 24.10.2025 № 46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запрещение регистрации на основании определения Нижегородского районного суда от 25.05.2023 по делу № 2-6365/2023.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покупатель обязан выполнять требования, предусмотренные Охранным обязательством, порядок и условия ег</w:t>
      </w:r>
      <w:r>
        <w:rPr>
          <w:sz w:val="27"/>
          <w:szCs w:val="27"/>
        </w:rPr>
        <w:t xml:space="preserve">о выполнения, а также требования, установленные пп. 1-3 ст. 47.3 Федерального закона от 25.06.2002 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Объект расположен на земельном участке площадью 1136 кв.м, кадастровый номер 52:18:0</w:t>
      </w:r>
      <w:r>
        <w:rPr>
          <w:sz w:val="27"/>
          <w:szCs w:val="27"/>
        </w:rPr>
        <w:t xml:space="preserve">060052:48, категория земель: земли населенных пунктов, вид разрешенно</w:t>
      </w:r>
      <w:r>
        <w:rPr>
          <w:sz w:val="27"/>
          <w:szCs w:val="27"/>
        </w:rPr>
        <w:t xml:space="preserve">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обл, г.Нижний Новгород, Нижегородский район, ул.Нижегородская, 19/29.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Стоимость выполнения реставрационно - ремонтных работ (восстановительных работ) в отношении о</w:t>
      </w:r>
      <w:r>
        <w:rPr>
          <w:sz w:val="27"/>
          <w:szCs w:val="27"/>
        </w:rPr>
        <w:t xml:space="preserve">бъекта культурного наследия регионального значения -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</w:t>
      </w:r>
      <w:r>
        <w:rPr>
          <w:sz w:val="27"/>
          <w:szCs w:val="27"/>
        </w:rPr>
        <w:t xml:space="preserve"> Нижегородская, дом 19/29 составляет 229 711,72 тыс.рублей, согласно отчету ГАУ НО «Научно-производственный центр по сохранению объектов культурного наследия Нижегородской области» (письмо от 24.10.2025 </w:t>
        <w:br/>
        <w:t xml:space="preserve">№ Сл-963419/25) о стоимости восстановительных работ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отношении объекта культурного наследия регионального значения «Жилой дом» 2-я пол. XIX - начало XX в. (г. Нижний Новгород, ул. Нижегородская, 19/29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, представленному управлением государственной охраны объектов культурного</w:t>
      </w:r>
      <w:r>
        <w:rPr>
          <w:sz w:val="27"/>
          <w:szCs w:val="27"/>
        </w:rPr>
        <w:t xml:space="preserve"> наследия Нижегородской области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Основание проведения аукциона: </w:t>
      </w:r>
      <w:r>
        <w:rPr>
          <w:sz w:val="27"/>
          <w:szCs w:val="27"/>
        </w:rPr>
        <w:t xml:space="preserve">апелляционн</w:t>
      </w:r>
      <w:r>
        <w:rPr>
          <w:sz w:val="27"/>
          <w:szCs w:val="27"/>
        </w:rPr>
        <w:t xml:space="preserve">ое</w:t>
      </w:r>
      <w:r>
        <w:rPr>
          <w:sz w:val="27"/>
          <w:szCs w:val="27"/>
        </w:rPr>
        <w:t xml:space="preserve"> определение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Нижегородского областного суда от 21.10.2025 по делу № 33-163/2025.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Начальная цена предмета аукциона –  7 307 420 рублей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Сумма задатка (20%) – 1 461 484 рублей</w:t>
      </w:r>
      <w:r>
        <w:rPr>
          <w:sz w:val="27"/>
          <w:szCs w:val="27"/>
        </w:rPr>
      </w:r>
    </w:p>
    <w:p>
      <w:pPr>
        <w:pStyle w:val="706"/>
        <w:contextualSpacing/>
        <w:ind w:right="-1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аукциона – 50 000 рублей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Оператор электронной площадки, на которой </w:t>
      </w:r>
      <w:r>
        <w:rPr>
          <w:sz w:val="27"/>
          <w:szCs w:val="27"/>
        </w:rPr>
        <w:t xml:space="preserve">проводится</w:t>
      </w:r>
      <w:r>
        <w:rPr>
          <w:sz w:val="27"/>
          <w:szCs w:val="27"/>
        </w:rPr>
        <w:t xml:space="preserve"> аукциона –</w:t>
      </w:r>
      <w:r>
        <w:rPr>
          <w:sz w:val="27"/>
          <w:szCs w:val="27"/>
        </w:rPr>
        <w:br w:type="textWrapping" w:clear="all"/>
        <w:t xml:space="preserve"> АО «Российский аукционный дом»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участия в </w:t>
      </w:r>
      <w:r>
        <w:rPr>
          <w:sz w:val="27"/>
          <w:szCs w:val="27"/>
        </w:rPr>
        <w:t xml:space="preserve">аукционе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электронной форме по продаже изъятого по решению суда объекта культурного наследия регионального значения –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Жилой </w:t>
      </w:r>
      <w:r>
        <w:rPr>
          <w:sz w:val="27"/>
          <w:szCs w:val="27"/>
        </w:rPr>
        <w:t xml:space="preserve">дом</w:t>
      </w:r>
      <w:r>
        <w:rPr>
          <w:sz w:val="27"/>
          <w:szCs w:val="27"/>
        </w:rPr>
        <w:t xml:space="preserve">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</w:t>
      </w:r>
      <w:r>
        <w:rPr>
          <w:sz w:val="27"/>
          <w:szCs w:val="27"/>
        </w:rPr>
        <w:t xml:space="preserve">19/29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зарегистрировано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заяв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к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</w:t>
      </w:r>
      <w:r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1 </w:t>
      </w:r>
      <w:r>
        <w:rPr>
          <w:sz w:val="27"/>
          <w:szCs w:val="27"/>
        </w:rPr>
        <w:t xml:space="preserve">–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 xml:space="preserve">Z</w:t>
      </w:r>
      <w:r>
        <w:rPr>
          <w:sz w:val="27"/>
          <w:szCs w:val="27"/>
        </w:rPr>
        <w:t xml:space="preserve">123642 Гришаткин Денис Васильевич, ИНН 522602088179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25"/>
        <w:ind w:right="-1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2 –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123530 ООО Специализированный застройщик «Строй-Риэлти и К» ИНН 5257150504/КПП 525701001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№3 -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123525</w:t>
      </w:r>
      <w: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Специализированный застройщик «Строй-Риэлти и К» ИНН 5257150504/КПП 525701001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 4 -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123455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«Специализированный застройщик «Монолит Регион» ИНН 5260491737/КПП 526001001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25"/>
        <w:ind w:right="-1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Заявитель № 5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Z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123438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ООО Специализированный застройщик «Строй-Риэлти и К» ИНН 5257150504/КПП 525701001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Заявки Z123525, Z123438 заявителем ООО Специализированный застройщик «Строй-Риэлти и К» отозваны.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</w:t>
      </w:r>
      <w:r>
        <w:rPr>
          <w:sz w:val="27"/>
          <w:szCs w:val="27"/>
        </w:rPr>
        <w:t xml:space="preserve"> сформированным с помощью программных средств электронной площадки </w:t>
      </w:r>
      <w:r>
        <w:rPr>
          <w:sz w:val="27"/>
          <w:szCs w:val="27"/>
        </w:rPr>
        <w:t xml:space="preserve">ж</w:t>
      </w:r>
      <w:r>
        <w:rPr>
          <w:sz w:val="27"/>
          <w:szCs w:val="27"/>
        </w:rPr>
        <w:t xml:space="preserve">урнал</w:t>
      </w:r>
      <w:r>
        <w:rPr>
          <w:sz w:val="27"/>
          <w:szCs w:val="27"/>
        </w:rPr>
        <w:t xml:space="preserve">ом</w:t>
      </w:r>
      <w:r>
        <w:rPr>
          <w:sz w:val="27"/>
          <w:szCs w:val="27"/>
        </w:rPr>
        <w:t xml:space="preserve"> учета приема заявок и задатков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1275191</w:t>
      </w: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4001</w:t>
      </w: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60</w:t>
      </w: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 задатки от Заявителя №1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Заявителя №2</w:t>
      </w:r>
      <w:r>
        <w:rPr>
          <w:sz w:val="27"/>
          <w:szCs w:val="27"/>
        </w:rPr>
        <w:t xml:space="preserve">, Заявителя № 4 </w:t>
      </w:r>
      <w:r>
        <w:rPr>
          <w:sz w:val="27"/>
          <w:szCs w:val="27"/>
        </w:rPr>
        <w:t xml:space="preserve"> поступили.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Учитывая, что АО «Российский аукционный дом» (оператор торгов) обеспечивает принятие от претенденто</w:t>
      </w:r>
      <w:r>
        <w:rPr>
          <w:sz w:val="27"/>
          <w:szCs w:val="27"/>
        </w:rPr>
        <w:t xml:space="preserve">в заявок и задатков на участие в аукционе в электронной форме в соответствии с Регламентом площадки, комиссией рассмотрены поданные претендентами заявки и принято решение допустить к участию в процедуре и признать участниками аукциона следующих заявителей: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№1 – Z123642 Гришаткин Денис Васильевич, ИНН 522602088179;</w:t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№2 – Z123530 ООО Специализированный застройщик «Строй-Риэлти и К» ИНН 5257150504/КПП 525701001;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 № 4 - Z123455 ООО «Специализированный застройщик «Монолит Регион» ИНН 5260491737/КПП 526001001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Состав комиссии  –   </w:t>
      </w:r>
      <w:r>
        <w:rPr>
          <w:iCs/>
          <w:sz w:val="27"/>
          <w:szCs w:val="27"/>
        </w:rPr>
        <w:t xml:space="preserve">8 </w:t>
      </w:r>
      <w:r>
        <w:rPr>
          <w:iCs/>
          <w:sz w:val="27"/>
          <w:szCs w:val="27"/>
        </w:rPr>
        <w:t xml:space="preserve">человек.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Присутствуют –  </w:t>
      </w:r>
      <w:r>
        <w:rPr>
          <w:iCs/>
          <w:sz w:val="27"/>
          <w:szCs w:val="27"/>
        </w:rPr>
        <w:t xml:space="preserve">7</w:t>
      </w:r>
      <w:r>
        <w:rPr>
          <w:iCs/>
          <w:sz w:val="27"/>
          <w:szCs w:val="27"/>
        </w:rPr>
        <w:t xml:space="preserve"> человек.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Кворум  имеется.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sz w:val="27"/>
          <w:szCs w:val="27"/>
        </w:rPr>
        <w:t xml:space="preserve">Председатель</w:t>
      </w:r>
      <w:r>
        <w:rPr>
          <w:sz w:val="27"/>
          <w:szCs w:val="27"/>
        </w:rPr>
        <w:t xml:space="preserve"> комисс</w:t>
      </w:r>
      <w:r>
        <w:rPr>
          <w:sz w:val="27"/>
          <w:szCs w:val="27"/>
        </w:rPr>
        <w:t xml:space="preserve">ии:</w:t>
        <w:tab/>
        <w:tab/>
        <w:tab/>
      </w:r>
      <w:r>
        <w:rPr>
          <w:sz w:val="27"/>
          <w:szCs w:val="27"/>
        </w:rPr>
        <w:t xml:space="preserve">_________________А.К. Газизов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Заместитель председ</w:t>
      </w:r>
      <w:r>
        <w:rPr>
          <w:iCs/>
          <w:sz w:val="27"/>
          <w:szCs w:val="27"/>
        </w:rPr>
        <w:t xml:space="preserve">ателя комиссии         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_________________</w:t>
      </w:r>
      <w:r>
        <w:rPr>
          <w:iCs/>
          <w:sz w:val="27"/>
          <w:szCs w:val="27"/>
        </w:rPr>
        <w:t xml:space="preserve"> В.П.Пильганов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spacing w:line="480" w:lineRule="auto"/>
        <w:rPr>
          <w:sz w:val="27"/>
          <w:szCs w:val="27"/>
        </w:rPr>
      </w:pPr>
      <w:r>
        <w:rPr>
          <w:sz w:val="27"/>
          <w:szCs w:val="27"/>
        </w:rPr>
        <w:t xml:space="preserve">Члены комиссии:</w:t>
        <w:tab/>
      </w:r>
      <w:r>
        <w:rPr>
          <w:sz w:val="27"/>
          <w:szCs w:val="27"/>
        </w:rPr>
        <w:tab/>
        <w:tab/>
        <w:tab/>
      </w:r>
      <w:r>
        <w:rPr>
          <w:sz w:val="27"/>
          <w:szCs w:val="27"/>
        </w:rPr>
        <w:tab/>
        <w:t xml:space="preserve">________________</w:t>
      </w:r>
      <w:r>
        <w:rPr>
          <w:sz w:val="27"/>
          <w:szCs w:val="27"/>
        </w:rPr>
        <w:t xml:space="preserve">_</w:t>
      </w:r>
      <w:r>
        <w:rPr>
          <w:sz w:val="27"/>
          <w:szCs w:val="27"/>
        </w:rPr>
        <w:t xml:space="preserve">О.Л. Гусева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sz w:val="27"/>
          <w:szCs w:val="27"/>
        </w:rPr>
        <w:tab/>
        <w:tab/>
        <w:tab/>
        <w:tab/>
        <w:tab/>
        <w:tab/>
      </w:r>
      <w:r>
        <w:rPr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А.</w:t>
      </w:r>
      <w:r>
        <w:rPr>
          <w:iCs/>
          <w:sz w:val="27"/>
          <w:szCs w:val="27"/>
        </w:rPr>
        <w:t xml:space="preserve">А</w:t>
      </w:r>
      <w:r>
        <w:rPr>
          <w:iCs/>
          <w:sz w:val="27"/>
          <w:szCs w:val="27"/>
        </w:rPr>
        <w:t xml:space="preserve">.К</w:t>
      </w:r>
      <w:r>
        <w:rPr>
          <w:iCs/>
          <w:sz w:val="27"/>
          <w:szCs w:val="27"/>
        </w:rPr>
        <w:t xml:space="preserve">атаева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ab/>
        <w:tab/>
        <w:tab/>
        <w:tab/>
        <w:tab/>
        <w:tab/>
      </w:r>
      <w:r>
        <w:rPr>
          <w:iCs/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А.А.Лыганов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left="4955" w:right="-1"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left="4955" w:right="-1" w:firstLine="709"/>
        <w:rPr>
          <w:iCs/>
          <w:sz w:val="27"/>
          <w:szCs w:val="27"/>
        </w:rPr>
      </w:pPr>
      <w:r>
        <w:rPr>
          <w:sz w:val="27"/>
          <w:szCs w:val="27"/>
        </w:rPr>
        <w:t xml:space="preserve">_________________ </w:t>
      </w:r>
      <w:r>
        <w:rPr>
          <w:iCs/>
          <w:sz w:val="27"/>
          <w:szCs w:val="27"/>
        </w:rPr>
        <w:t xml:space="preserve">Е.А.Магина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iCs/>
          <w:sz w:val="27"/>
          <w:szCs w:val="27"/>
        </w:rPr>
        <w:t xml:space="preserve">С</w:t>
      </w:r>
      <w:r>
        <w:rPr>
          <w:sz w:val="27"/>
          <w:szCs w:val="27"/>
        </w:rPr>
        <w:t xml:space="preserve">екретарь комиссии</w:t>
        <w:tab/>
        <w:tab/>
        <w:tab/>
      </w:r>
      <w:r>
        <w:rPr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Е.</w:t>
      </w:r>
      <w:r>
        <w:rPr>
          <w:iCs/>
          <w:sz w:val="27"/>
          <w:szCs w:val="27"/>
        </w:rPr>
        <w:t xml:space="preserve">В</w:t>
      </w:r>
      <w:r>
        <w:rPr>
          <w:iCs/>
          <w:sz w:val="27"/>
          <w:szCs w:val="27"/>
        </w:rPr>
        <w:t xml:space="preserve">.</w:t>
      </w:r>
      <w:r>
        <w:rPr>
          <w:iCs/>
          <w:sz w:val="27"/>
          <w:szCs w:val="27"/>
        </w:rPr>
        <w:t xml:space="preserve">Кислицына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7" w:h="16840" w:orient="portrait"/>
      <w:pgMar w:top="851" w:right="851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  <w:tabs>
          <w:tab w:val="num" w:pos="1222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  <w:tabs>
          <w:tab w:val="num" w:pos="194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  <w:tabs>
          <w:tab w:val="num" w:pos="266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  <w:tabs>
          <w:tab w:val="num" w:pos="3382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  <w:tabs>
          <w:tab w:val="num" w:pos="410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  <w:tabs>
          <w:tab w:val="num" w:pos="482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  <w:tabs>
          <w:tab w:val="num" w:pos="5542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  <w:tabs>
          <w:tab w:val="num" w:pos="6262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3"/>
  </w:num>
  <w:num w:numId="4">
    <w:abstractNumId w:val="20"/>
  </w:num>
  <w:num w:numId="5">
    <w:abstractNumId w:val="10"/>
  </w:num>
  <w:num w:numId="6">
    <w:abstractNumId w:val="15"/>
  </w:num>
  <w:num w:numId="7">
    <w:abstractNumId w:val="39"/>
  </w:num>
  <w:num w:numId="8">
    <w:abstractNumId w:val="31"/>
  </w:num>
  <w:num w:numId="9">
    <w:abstractNumId w:val="13"/>
  </w:num>
  <w:num w:numId="10">
    <w:abstractNumId w:val="11"/>
  </w:num>
  <w:num w:numId="11">
    <w:abstractNumId w:val="7"/>
  </w:num>
  <w:num w:numId="12">
    <w:abstractNumId w:val="23"/>
  </w:num>
  <w:num w:numId="13">
    <w:abstractNumId w:val="21"/>
  </w:num>
  <w:num w:numId="14">
    <w:abstractNumId w:val="12"/>
  </w:num>
  <w:num w:numId="15">
    <w:abstractNumId w:val="24"/>
  </w:num>
  <w:num w:numId="16">
    <w:abstractNumId w:val="40"/>
  </w:num>
  <w:num w:numId="17">
    <w:abstractNumId w:val="36"/>
  </w:num>
  <w:num w:numId="18">
    <w:abstractNumId w:val="32"/>
  </w:num>
  <w:num w:numId="19">
    <w:abstractNumId w:val="41"/>
  </w:num>
  <w:num w:numId="20">
    <w:abstractNumId w:val="29"/>
  </w:num>
  <w:num w:numId="21">
    <w:abstractNumId w:val="35"/>
  </w:num>
  <w:num w:numId="22">
    <w:abstractNumId w:val="28"/>
  </w:num>
  <w:num w:numId="23">
    <w:abstractNumId w:val="5"/>
  </w:num>
  <w:num w:numId="24">
    <w:abstractNumId w:val="18"/>
  </w:num>
  <w:num w:numId="25">
    <w:abstractNumId w:val="30"/>
  </w:num>
  <w:num w:numId="26">
    <w:abstractNumId w:val="9"/>
  </w:num>
  <w:num w:numId="27">
    <w:abstractNumId w:val="38"/>
  </w:num>
  <w:num w:numId="28">
    <w:abstractNumId w:val="14"/>
  </w:num>
  <w:num w:numId="29">
    <w:abstractNumId w:val="34"/>
  </w:num>
  <w:num w:numId="30">
    <w:abstractNumId w:val="8"/>
  </w:num>
  <w:num w:numId="31">
    <w:abstractNumId w:val="27"/>
  </w:num>
  <w:num w:numId="32">
    <w:abstractNumId w:val="16"/>
  </w:num>
  <w:num w:numId="33">
    <w:abstractNumId w:val="6"/>
  </w:num>
  <w:num w:numId="34">
    <w:abstractNumId w:val="17"/>
  </w:num>
  <w:num w:numId="35">
    <w:abstractNumId w:val="19"/>
  </w:num>
  <w:num w:numId="36">
    <w:abstractNumId w:val="37"/>
  </w:num>
  <w:num w:numId="37">
    <w:abstractNumId w:val="0"/>
  </w:num>
  <w:num w:numId="38">
    <w:abstractNumId w:val="2"/>
  </w:num>
  <w:num w:numId="39">
    <w:abstractNumId w:val="1"/>
  </w:num>
  <w:num w:numId="40">
    <w:abstractNumId w:val="25"/>
  </w:num>
  <w:num w:numId="41">
    <w:abstractNumId w:val="22"/>
  </w:num>
  <w:num w:numId="42">
    <w:abstractNumId w:val="44"/>
  </w:num>
  <w:num w:numId="43">
    <w:abstractNumId w:val="42"/>
  </w:num>
  <w:num w:numId="44">
    <w:abstractNumId w:val="4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lang w:val="ru-RU" w:eastAsia="ru-RU" w:bidi="ar-SA"/>
    </w:rPr>
  </w:style>
  <w:style w:type="paragraph" w:styleId="707">
    <w:name w:val="Заголовок 1"/>
    <w:basedOn w:val="706"/>
    <w:next w:val="706"/>
    <w:link w:val="706"/>
    <w:qFormat/>
    <w:pPr>
      <w:keepNext/>
      <w:outlineLvl w:val="0"/>
    </w:pPr>
    <w:rPr>
      <w:sz w:val="24"/>
    </w:rPr>
  </w:style>
  <w:style w:type="paragraph" w:styleId="708">
    <w:name w:val="Заголовок 2"/>
    <w:basedOn w:val="706"/>
    <w:next w:val="706"/>
    <w:link w:val="706"/>
    <w:qFormat/>
    <w:pPr>
      <w:jc w:val="center"/>
      <w:keepNext/>
      <w:outlineLvl w:val="1"/>
    </w:pPr>
    <w:rPr>
      <w:sz w:val="24"/>
    </w:rPr>
  </w:style>
  <w:style w:type="paragraph" w:styleId="709">
    <w:name w:val="Заголовок 3"/>
    <w:basedOn w:val="706"/>
    <w:next w:val="706"/>
    <w:link w:val="706"/>
    <w:qFormat/>
    <w:pPr>
      <w:jc w:val="center"/>
      <w:keepNext/>
      <w:outlineLvl w:val="2"/>
    </w:pPr>
    <w:rPr>
      <w:b/>
      <w:sz w:val="24"/>
    </w:rPr>
  </w:style>
  <w:style w:type="paragraph" w:styleId="710">
    <w:name w:val="Заголовок 4"/>
    <w:basedOn w:val="706"/>
    <w:next w:val="706"/>
    <w:link w:val="706"/>
    <w:qFormat/>
    <w:pPr>
      <w:ind w:left="2832" w:firstLine="708"/>
      <w:keepNext/>
      <w:outlineLvl w:val="3"/>
    </w:pPr>
    <w:rPr>
      <w:b/>
      <w:sz w:val="24"/>
    </w:rPr>
  </w:style>
  <w:style w:type="paragraph" w:styleId="711">
    <w:name w:val="Заголовок 5"/>
    <w:basedOn w:val="706"/>
    <w:next w:val="706"/>
    <w:link w:val="706"/>
    <w:qFormat/>
    <w:pPr>
      <w:keepNext/>
      <w:outlineLvl w:val="4"/>
    </w:pPr>
    <w:rPr>
      <w:sz w:val="28"/>
    </w:rPr>
  </w:style>
  <w:style w:type="character" w:styleId="712">
    <w:name w:val="Основной шрифт абзаца"/>
    <w:next w:val="712"/>
    <w:link w:val="706"/>
    <w:semiHidden/>
  </w:style>
  <w:style w:type="table" w:styleId="713">
    <w:name w:val="Обычная таблица"/>
    <w:next w:val="713"/>
    <w:link w:val="706"/>
    <w:semiHidden/>
    <w:tblPr/>
  </w:style>
  <w:style w:type="numbering" w:styleId="714">
    <w:name w:val="Нет списка"/>
    <w:next w:val="714"/>
    <w:link w:val="706"/>
    <w:semiHidden/>
  </w:style>
  <w:style w:type="paragraph" w:styleId="715">
    <w:name w:val="Название"/>
    <w:basedOn w:val="706"/>
    <w:next w:val="715"/>
    <w:link w:val="706"/>
    <w:qFormat/>
    <w:pPr>
      <w:jc w:val="center"/>
      <w:spacing w:line="360" w:lineRule="auto"/>
    </w:pPr>
    <w:rPr>
      <w:sz w:val="24"/>
    </w:rPr>
  </w:style>
  <w:style w:type="paragraph" w:styleId="716">
    <w:name w:val="Основной текст"/>
    <w:basedOn w:val="706"/>
    <w:next w:val="716"/>
    <w:link w:val="723"/>
    <w:pPr>
      <w:jc w:val="both"/>
      <w:spacing w:line="360" w:lineRule="auto"/>
    </w:pPr>
    <w:rPr>
      <w:sz w:val="24"/>
      <w:lang w:eastAsia="ru-RU"/>
    </w:rPr>
  </w:style>
  <w:style w:type="paragraph" w:styleId="717">
    <w:name w:val="Основной текст 2"/>
    <w:basedOn w:val="706"/>
    <w:next w:val="717"/>
    <w:link w:val="722"/>
    <w:rPr>
      <w:sz w:val="28"/>
    </w:rPr>
  </w:style>
  <w:style w:type="paragraph" w:styleId="718">
    <w:name w:val="Нижний колонтитул"/>
    <w:basedOn w:val="706"/>
    <w:next w:val="718"/>
    <w:link w:val="706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19">
    <w:name w:val="Основной текст 3"/>
    <w:basedOn w:val="706"/>
    <w:next w:val="719"/>
    <w:link w:val="706"/>
    <w:rPr>
      <w:i/>
      <w:iCs/>
      <w:sz w:val="28"/>
    </w:rPr>
  </w:style>
  <w:style w:type="paragraph" w:styleId="720">
    <w:name w:val="Основной текст с отступом"/>
    <w:basedOn w:val="706"/>
    <w:next w:val="720"/>
    <w:link w:val="706"/>
    <w:pPr>
      <w:jc w:val="both"/>
    </w:pPr>
    <w:rPr>
      <w:sz w:val="28"/>
      <w:szCs w:val="28"/>
    </w:rPr>
  </w:style>
  <w:style w:type="paragraph" w:styleId="721">
    <w:name w:val="Текст выноски"/>
    <w:basedOn w:val="706"/>
    <w:next w:val="721"/>
    <w:link w:val="706"/>
    <w:semiHidden/>
    <w:rPr>
      <w:rFonts w:ascii="Tahoma" w:hAnsi="Tahoma" w:cs="Tahoma"/>
      <w:sz w:val="16"/>
      <w:szCs w:val="16"/>
    </w:rPr>
  </w:style>
  <w:style w:type="character" w:styleId="722">
    <w:name w:val="Основной текст 2 Знак"/>
    <w:next w:val="722"/>
    <w:link w:val="717"/>
    <w:rPr>
      <w:sz w:val="28"/>
    </w:rPr>
  </w:style>
  <w:style w:type="character" w:styleId="723">
    <w:name w:val="Основной текст Знак"/>
    <w:next w:val="723"/>
    <w:link w:val="716"/>
    <w:rPr>
      <w:sz w:val="24"/>
    </w:rPr>
  </w:style>
  <w:style w:type="character" w:styleId="724">
    <w:name w:val="Гиперссылка"/>
    <w:next w:val="724"/>
    <w:link w:val="706"/>
    <w:rPr>
      <w:color w:val="0000ff"/>
      <w:u w:val="single"/>
    </w:rPr>
  </w:style>
  <w:style w:type="paragraph" w:styleId="725">
    <w:name w:val="Без интервала"/>
    <w:next w:val="725"/>
    <w:link w:val="70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07" w:default="1">
    <w:name w:val="Default Paragraph Font"/>
    <w:uiPriority w:val="1"/>
    <w:semiHidden/>
    <w:unhideWhenUsed/>
  </w:style>
  <w:style w:type="numbering" w:styleId="1108" w:default="1">
    <w:name w:val="No List"/>
    <w:uiPriority w:val="99"/>
    <w:semiHidden/>
    <w:unhideWhenUsed/>
  </w:style>
  <w:style w:type="table" w:styleId="11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КУГИ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>JOГO JARDIM x8?! PORRA! DIA 8 VOTA NГO!</dc:subject>
  <dc:creator>VOTA NГO А REGIONALIZAЗГO! SIM AO REFORЗO DO MUNICIPALISMO!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6</cp:revision>
  <dcterms:created xsi:type="dcterms:W3CDTF">2026-01-23T12:22:00Z</dcterms:created>
  <dcterms:modified xsi:type="dcterms:W3CDTF">2026-02-03T13:03:57Z</dcterms:modified>
  <cp:version>917504</cp:version>
</cp:coreProperties>
</file>